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3D" w:rsidRPr="00762A3D" w:rsidRDefault="00762A3D" w:rsidP="00762A3D">
      <w:pPr>
        <w:spacing w:after="24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Hoofdstuk 6: Horeca en evenementen</w:t>
      </w:r>
    </w:p>
    <w:p w:rsidR="00762A3D" w:rsidRPr="00762A3D" w:rsidRDefault="00762A3D" w:rsidP="00762A3D">
      <w:pPr>
        <w:spacing w:after="24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Afdeling 1 – Openings- en sluitingsuur</w:t>
      </w:r>
    </w:p>
    <w:p w:rsidR="00762A3D" w:rsidRDefault="00762A3D" w:rsidP="00E80E5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Art. 6.1.1 Algemene regeling voor horecazaken en evenementen</w:t>
      </w:r>
    </w:p>
    <w:p w:rsidR="00E80E54" w:rsidRPr="00762A3D" w:rsidRDefault="00E80E54" w:rsidP="00E80E5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§1</w:t>
      </w:r>
      <w:r w:rsidRPr="00762A3D">
        <w:rPr>
          <w:rFonts w:ascii="Verdana" w:hAnsi="Verdana"/>
          <w:sz w:val="20"/>
          <w:szCs w:val="20"/>
        </w:rPr>
        <w:t>. Het sluitingsuur voor horecazaken (met inbegrip van de herbergen,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dansgelegenheden en in het algemeen alle plaatsen toegankelijk voor het publiek waar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men drank verkoopt) en alle evenementen en andere openbare gelegenheden is 1 uur,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behoudens de uitzonderingen bepaald in §2: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Na het sluiten dient de instelling ten minste vier opeenvolgende uren gesloten te blijven. Het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openingsuur voor horecazaken is ten vroegste 7 uur. De burgemeester kan toelaten dat een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horecazaak opent voor 7 uur indien er minstens vier uur verstreken is sinds het sluitingsuur.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Default="00762A3D" w:rsidP="00E80E54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§2</w:t>
      </w:r>
      <w:r w:rsidRPr="00762A3D">
        <w:rPr>
          <w:rFonts w:ascii="Verdana" w:hAnsi="Verdana"/>
          <w:sz w:val="20"/>
          <w:szCs w:val="20"/>
        </w:rPr>
        <w:t>. Er geldt geen sluitingsuur voor:</w:t>
      </w:r>
    </w:p>
    <w:p w:rsidR="00E80E54" w:rsidRPr="00762A3D" w:rsidRDefault="00E80E54" w:rsidP="00E80E54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12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- de nacht van 24 december op 25 december</w:t>
      </w:r>
    </w:p>
    <w:p w:rsid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- de nacht van 31 december op 1 januari</w:t>
      </w:r>
      <w:bookmarkStart w:id="0" w:name="_GoBack"/>
      <w:bookmarkEnd w:id="0"/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In deze gevallen is het retributiereglement op het openhouden van drankgelegenheden na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het gewoon sluitingsuur niet van toepassing.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Art. 6.1.2 Gelegenheidstoelating tot afwijking op het sluitingsuur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§1</w:t>
      </w:r>
      <w:r w:rsidRPr="00762A3D">
        <w:rPr>
          <w:rFonts w:ascii="Verdana" w:hAnsi="Verdana"/>
          <w:sz w:val="20"/>
          <w:szCs w:val="20"/>
        </w:rPr>
        <w:t>. Iedereen kan een gelegenheidstoelating aanvragen om een uitzondering te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bekomen op de sluitingsuren opgenomen in artikel 6.1.1. Bij de aanvraag tot een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gelegenheidstoelating dient de aanvrager zijn aanvraag te motiveren door het uitzonderlijke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karakter van de gebeurtenis aan te tonen. De burgemeester oordeelt soeverein over het al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dan niet verlenen van een gelegenheidstoelating.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Voor elke uitzondering op het sluitingsuur dient telkens een nieuwe aanvraag ingediend te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worden.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§2</w:t>
      </w:r>
      <w:r w:rsidRPr="00762A3D">
        <w:rPr>
          <w:rFonts w:ascii="Verdana" w:hAnsi="Verdana"/>
          <w:sz w:val="20"/>
          <w:szCs w:val="20"/>
        </w:rPr>
        <w:t>. Een gelegenheidstoelating voor de verlating van het sluitingsuur, zoals opgenomen in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artikel 6.1.1, kan voor maximum 4 uur bijkomend op het sluitingsuur voor de nacht van vrijdag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op zaterdag, van zaterdag op zondag en de nacht voor een wettelijke feestdag bekomen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worden en maximum 2 uur bijkomend voor de andere nachten.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§3</w:t>
      </w:r>
      <w:r w:rsidRPr="00762A3D">
        <w:rPr>
          <w:rFonts w:ascii="Verdana" w:hAnsi="Verdana"/>
          <w:sz w:val="20"/>
          <w:szCs w:val="20"/>
        </w:rPr>
        <w:t>. De aanvraag voor een gelegenheidstoelating dient tenminste 14 kalenderdagen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vooraf schriftelijk te gebeuren.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Art. 6.1.3 Bestendige toelating tot afwijking op het sluitingsuur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§1</w:t>
      </w:r>
      <w:r w:rsidRPr="00762A3D">
        <w:rPr>
          <w:rFonts w:ascii="Verdana" w:hAnsi="Verdana"/>
          <w:sz w:val="20"/>
          <w:szCs w:val="20"/>
        </w:rPr>
        <w:t>. Het college van Burgemeester en schepenen kan aan de uitbater van een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horecazaak een bestendige toelating geven om de instelling open te houden tot maximum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05u00. De instelling mag in dit geval ten vroegste om 08u00 heropenen. De aanvraag voor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een bestendige toelating dient tenminste 45 kalenderdagen vooraf schriftelijk te gebeuren.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De bestendige toelating is geldig voor de periode bepaald in de toelating, met een</w:t>
      </w:r>
    </w:p>
    <w:p w:rsid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 xml:space="preserve">maximum van één jaar en kan beperkt worden tot bepaalde dagen. 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De bestendige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toelating kan verlengd worden met een periode van 1 jaar op schriftelijke aanvraag van de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uitbater.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§2</w:t>
      </w:r>
      <w:r w:rsidRPr="00762A3D">
        <w:rPr>
          <w:rFonts w:ascii="Verdana" w:hAnsi="Verdana"/>
          <w:sz w:val="20"/>
          <w:szCs w:val="20"/>
        </w:rPr>
        <w:t>. Bij aanvraag van een bestendige vergunning kan de burgemeester de toelating</w:t>
      </w:r>
    </w:p>
    <w:p w:rsid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afhankelijk maken van een akoestisch onderzoek, uitgevoerd door een erkend deskundige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 xml:space="preserve">ter zake. Dit akoestisch onderzoek dient te gebeuren op kosten van de </w:t>
      </w:r>
      <w:r w:rsidRPr="00762A3D">
        <w:rPr>
          <w:rFonts w:ascii="Verdana" w:hAnsi="Verdana"/>
          <w:sz w:val="20"/>
          <w:szCs w:val="20"/>
        </w:rPr>
        <w:lastRenderedPageBreak/>
        <w:t>aanvrager. Indien de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geldigheidsduur van het akoestisch rapport is afgelopen en/of indien er relevante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infrastructurele wijzigingen optreden in de horecazaak, dient er een nieuw akoestisch</w:t>
      </w:r>
      <w:r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onderzoek uitgevoerd te worden.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§3</w:t>
      </w:r>
      <w:r w:rsidRPr="00762A3D">
        <w:rPr>
          <w:rFonts w:ascii="Verdana" w:hAnsi="Verdana"/>
          <w:sz w:val="20"/>
          <w:szCs w:val="20"/>
        </w:rPr>
        <w:t>. Om overlast te beperken kunnen er bijzondere voorwaarden opgelegd worden door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de burgemeester.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Afdeling 2 - Horeca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Art. 6.2.1 Aanwezigheid klanten na sluitingsuur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2A3D" w:rsidRDefault="00762A3D" w:rsidP="00E80E54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Iedere uitbater van een horecazaak moet ervoor zorgen dat alle personen, vreemd aan zijn</w:t>
      </w:r>
      <w:r w:rsidR="00E80E54"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inrichting, deze hebben verlaten op het sluitingsuur.</w:t>
      </w:r>
    </w:p>
    <w:p w:rsidR="00E80E54" w:rsidRPr="00762A3D" w:rsidRDefault="00E80E54" w:rsidP="00E80E54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Default="00762A3D" w:rsidP="00E80E54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Het is verboden in een horecazaak klanten te bedienen na het sluitingsuur.</w:t>
      </w:r>
    </w:p>
    <w:p w:rsidR="00E80E54" w:rsidRPr="00762A3D" w:rsidRDefault="00E80E54" w:rsidP="00E80E54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Het is voor klanten verboden nog aanwezig te zijn in de horecazaak na sluitingsuur.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Afdeling 3 – Evenementen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Art. 6.3.1 Aanvraag evenementen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§1</w:t>
      </w:r>
      <w:r w:rsidRPr="00762A3D">
        <w:rPr>
          <w:rFonts w:ascii="Verdana" w:hAnsi="Verdana"/>
          <w:sz w:val="20"/>
          <w:szCs w:val="20"/>
        </w:rPr>
        <w:t>. De organisatie van een openbaar evenement in openlucht is onderworpen aan een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toestemming van de burgemeester. De aanvraag moet schriftelijk en minstens 90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kalenderdagen voor de geplande datum ingediend worden door het door de gemeente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verstrekte evenementenformulier in te vullen.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§2</w:t>
      </w:r>
      <w:r w:rsidRPr="00762A3D">
        <w:rPr>
          <w:rFonts w:ascii="Verdana" w:hAnsi="Verdana"/>
          <w:sz w:val="20"/>
          <w:szCs w:val="20"/>
        </w:rPr>
        <w:t>. De organisatie van een openbaar evenement in een gesloten en/of overdekte plaats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is onderworpen aan een kennisgeving aan de burgemeester. De kennisgeving moet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schriftelijk en minstens 45 kalenderdagen voor de geplande datum ingediend worden door</w:t>
      </w:r>
      <w:r w:rsidR="00E80E54">
        <w:rPr>
          <w:rFonts w:ascii="Verdana" w:hAnsi="Verdana"/>
          <w:sz w:val="20"/>
          <w:szCs w:val="20"/>
        </w:rPr>
        <w:t xml:space="preserve"> </w:t>
      </w:r>
      <w:r w:rsidRPr="00762A3D">
        <w:rPr>
          <w:rFonts w:ascii="Verdana" w:hAnsi="Verdana"/>
          <w:sz w:val="20"/>
          <w:szCs w:val="20"/>
        </w:rPr>
        <w:t>het door de gemeente verstrekte evenementenformulier in te vullen.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>§3</w:t>
      </w:r>
      <w:r w:rsidRPr="00762A3D">
        <w:rPr>
          <w:rFonts w:ascii="Verdana" w:hAnsi="Verdana"/>
          <w:sz w:val="20"/>
          <w:szCs w:val="20"/>
        </w:rPr>
        <w:t>. De organisatie van een evenement dient op vraag van de bevoegde dienst de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administratieve verplichtingen volgend uit de aanvraag tijdig af te handelen. Indien nodig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dient een veiligheidsdossier opgesteld te worden door de organisatie.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62A3D">
        <w:rPr>
          <w:rFonts w:ascii="Verdana" w:hAnsi="Verdana"/>
          <w:b/>
          <w:sz w:val="20"/>
          <w:szCs w:val="20"/>
        </w:rPr>
        <w:t xml:space="preserve">Art. 6.3.2 Verbod op </w:t>
      </w:r>
      <w:proofErr w:type="spellStart"/>
      <w:r w:rsidRPr="00762A3D">
        <w:rPr>
          <w:rFonts w:ascii="Verdana" w:hAnsi="Verdana"/>
          <w:b/>
          <w:sz w:val="20"/>
          <w:szCs w:val="20"/>
        </w:rPr>
        <w:t>wegwerprecipiënten</w:t>
      </w:r>
      <w:proofErr w:type="spellEnd"/>
    </w:p>
    <w:p w:rsidR="00762A3D" w:rsidRPr="00762A3D" w:rsidRDefault="00762A3D" w:rsidP="00762A3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 xml:space="preserve">Het serveren van drank in </w:t>
      </w:r>
      <w:proofErr w:type="spellStart"/>
      <w:r w:rsidRPr="00762A3D">
        <w:rPr>
          <w:rFonts w:ascii="Verdana" w:hAnsi="Verdana"/>
          <w:sz w:val="20"/>
          <w:szCs w:val="20"/>
        </w:rPr>
        <w:t>recipiënten</w:t>
      </w:r>
      <w:proofErr w:type="spellEnd"/>
      <w:r w:rsidRPr="00762A3D">
        <w:rPr>
          <w:rFonts w:ascii="Verdana" w:hAnsi="Verdana"/>
          <w:sz w:val="20"/>
          <w:szCs w:val="20"/>
        </w:rPr>
        <w:t xml:space="preserve"> voor eenmalig gebruik bij evenementen is verboden,</w:t>
      </w:r>
    </w:p>
    <w:p w:rsidR="00762A3D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tenzij de eventorganisator een systeem voorziet dat garandeert dat minstens 90% van de</w:t>
      </w:r>
    </w:p>
    <w:p w:rsidR="00B245B4" w:rsidRPr="00762A3D" w:rsidRDefault="00762A3D" w:rsidP="00762A3D">
      <w:pPr>
        <w:spacing w:after="0" w:line="240" w:lineRule="auto"/>
        <w:rPr>
          <w:rFonts w:ascii="Verdana" w:hAnsi="Verdana"/>
          <w:sz w:val="20"/>
          <w:szCs w:val="20"/>
        </w:rPr>
      </w:pPr>
      <w:r w:rsidRPr="00762A3D">
        <w:rPr>
          <w:rFonts w:ascii="Verdana" w:hAnsi="Verdana"/>
          <w:sz w:val="20"/>
          <w:szCs w:val="20"/>
        </w:rPr>
        <w:t>eenmalige verpakkingen gescheiden wordt ingezameld voor recyclage.</w:t>
      </w:r>
    </w:p>
    <w:sectPr w:rsidR="00B245B4" w:rsidRPr="00762A3D" w:rsidSect="005E43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3B6" w:rsidRDefault="005703B6" w:rsidP="0037477E">
      <w:pPr>
        <w:spacing w:after="0" w:line="240" w:lineRule="auto"/>
      </w:pPr>
      <w:r>
        <w:separator/>
      </w:r>
    </w:p>
  </w:endnote>
  <w:endnote w:type="continuationSeparator" w:id="0">
    <w:p w:rsidR="005703B6" w:rsidRDefault="005703B6" w:rsidP="0037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7E" w:rsidRDefault="00185432">
    <w:pPr>
      <w:pStyle w:val="Voettekst"/>
    </w:pPr>
    <w:r>
      <w:tab/>
    </w:r>
    <w:r>
      <w:tab/>
    </w:r>
    <w:r w:rsidR="0037477E">
      <w:t>Algemene politieverordening 01/01/2020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3B6" w:rsidRDefault="005703B6" w:rsidP="0037477E">
      <w:pPr>
        <w:spacing w:after="0" w:line="240" w:lineRule="auto"/>
      </w:pPr>
      <w:r>
        <w:separator/>
      </w:r>
    </w:p>
  </w:footnote>
  <w:footnote w:type="continuationSeparator" w:id="0">
    <w:p w:rsidR="005703B6" w:rsidRDefault="005703B6" w:rsidP="0037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6710E"/>
    <w:multiLevelType w:val="hybridMultilevel"/>
    <w:tmpl w:val="EE861020"/>
    <w:lvl w:ilvl="0" w:tplc="05D057B6">
      <w:start w:val="1"/>
      <w:numFmt w:val="decimal"/>
      <w:pStyle w:val="HuisstijlTite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3D"/>
    <w:rsid w:val="00133C04"/>
    <w:rsid w:val="00185432"/>
    <w:rsid w:val="00240CD8"/>
    <w:rsid w:val="00294CA3"/>
    <w:rsid w:val="00325799"/>
    <w:rsid w:val="0037477E"/>
    <w:rsid w:val="00424419"/>
    <w:rsid w:val="00442422"/>
    <w:rsid w:val="00497A8E"/>
    <w:rsid w:val="005703B6"/>
    <w:rsid w:val="00585413"/>
    <w:rsid w:val="00595319"/>
    <w:rsid w:val="005B5A45"/>
    <w:rsid w:val="005E439B"/>
    <w:rsid w:val="00601ED6"/>
    <w:rsid w:val="006E7E34"/>
    <w:rsid w:val="00762A3D"/>
    <w:rsid w:val="00830C5B"/>
    <w:rsid w:val="00832326"/>
    <w:rsid w:val="00860BA7"/>
    <w:rsid w:val="009612B9"/>
    <w:rsid w:val="009915F7"/>
    <w:rsid w:val="00A83F52"/>
    <w:rsid w:val="00A9574A"/>
    <w:rsid w:val="00B245B4"/>
    <w:rsid w:val="00C50653"/>
    <w:rsid w:val="00D118AF"/>
    <w:rsid w:val="00D20E65"/>
    <w:rsid w:val="00D96E0B"/>
    <w:rsid w:val="00DA05BF"/>
    <w:rsid w:val="00E80E54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36D9"/>
  <w15:chartTrackingRefBased/>
  <w15:docId w15:val="{D117E775-FF0A-42D5-AEB0-5784861F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A09DD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Titel">
    <w:name w:val="Huisstijl_Titel"/>
    <w:qFormat/>
    <w:rsid w:val="00FA09DD"/>
    <w:pPr>
      <w:numPr>
        <w:numId w:val="2"/>
      </w:numPr>
      <w:spacing w:after="200"/>
    </w:pPr>
    <w:rPr>
      <w:rFonts w:ascii="Century Gothic" w:hAnsi="Century Gothic"/>
      <w:sz w:val="32"/>
      <w:u w:val="single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FA09D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A09DD"/>
    <w:rPr>
      <w:i/>
      <w:iCs/>
      <w:color w:val="000000" w:themeColor="text1"/>
      <w:sz w:val="22"/>
      <w:szCs w:val="22"/>
      <w:lang w:eastAsia="en-US"/>
    </w:rPr>
  </w:style>
  <w:style w:type="paragraph" w:customStyle="1" w:styleId="HSNormal">
    <w:name w:val="HS_Normal"/>
    <w:basedOn w:val="Standaard"/>
    <w:link w:val="HSNormalChar"/>
    <w:qFormat/>
    <w:rsid w:val="00FA09DD"/>
    <w:rPr>
      <w:rFonts w:ascii="Century Gothic" w:hAnsi="Century Gothic"/>
      <w:sz w:val="20"/>
      <w:szCs w:val="20"/>
    </w:rPr>
  </w:style>
  <w:style w:type="character" w:customStyle="1" w:styleId="HSNormalChar">
    <w:name w:val="HS_Normal Char"/>
    <w:basedOn w:val="Standaardalinea-lettertype"/>
    <w:link w:val="HSNormal"/>
    <w:rsid w:val="00FA09DD"/>
    <w:rPr>
      <w:rFonts w:ascii="Century Gothic" w:hAnsi="Century Gothic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7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477E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7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4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Gemeentbestuur Sint Pieters Leeuw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Vanakker</dc:creator>
  <cp:keywords/>
  <dc:description/>
  <cp:lastModifiedBy>Kristel Vanakker</cp:lastModifiedBy>
  <cp:revision>1</cp:revision>
  <dcterms:created xsi:type="dcterms:W3CDTF">2020-01-08T08:24:00Z</dcterms:created>
  <dcterms:modified xsi:type="dcterms:W3CDTF">2020-01-08T11:17:00Z</dcterms:modified>
</cp:coreProperties>
</file>