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BF68DA">
        <w:rPr>
          <w:rFonts w:ascii="Century Gothic" w:hAnsi="Century Gothic"/>
          <w:sz w:val="24"/>
          <w:szCs w:val="24"/>
          <w:lang w:val="nl-BE"/>
        </w:rPr>
        <w:t>27 augustus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BF68DA" w:rsidP="00A076D9">
            <w:pPr>
              <w:rPr>
                <w:rFonts w:ascii="Century Gothic" w:hAnsi="Century Gothic"/>
                <w:sz w:val="24"/>
                <w:szCs w:val="24"/>
                <w:lang w:val="nl-BE"/>
              </w:rPr>
            </w:pPr>
            <w:r w:rsidRPr="00BF68DA">
              <w:rPr>
                <w:rFonts w:ascii="Century Gothic" w:hAnsi="Century Gothic"/>
                <w:sz w:val="24"/>
                <w:szCs w:val="24"/>
                <w:lang w:val="nl-NL"/>
              </w:rPr>
              <w:t>Tijdelijke politieverordening op het wegverkeer - verwijderen parkeerplaats voor mensen met een handicap</w:t>
            </w:r>
          </w:p>
        </w:tc>
      </w:tr>
      <w:tr w:rsidR="00BF68DA" w:rsidTr="00BF68DA">
        <w:tc>
          <w:tcPr>
            <w:tcW w:w="296" w:type="dxa"/>
          </w:tcPr>
          <w:p w:rsidR="00BF68DA" w:rsidRDefault="00BF68DA"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F68DA" w:rsidP="00FE341B">
            <w:pPr>
              <w:rPr>
                <w:rFonts w:ascii="Century Gothic" w:hAnsi="Century Gothic"/>
                <w:sz w:val="24"/>
                <w:szCs w:val="24"/>
                <w:lang w:val="nl-BE"/>
              </w:rPr>
            </w:pPr>
            <w:r w:rsidRPr="00BF68DA">
              <w:rPr>
                <w:rFonts w:ascii="Century Gothic" w:hAnsi="Century Gothic"/>
                <w:sz w:val="24"/>
                <w:szCs w:val="24"/>
                <w:lang w:val="nl-NL"/>
              </w:rPr>
              <w:t xml:space="preserve">Tijdelijke politieverordening op het wegverkeer: Schoolstraat </w:t>
            </w:r>
            <w:proofErr w:type="spellStart"/>
            <w:r w:rsidRPr="00BF68DA">
              <w:rPr>
                <w:rFonts w:ascii="Century Gothic" w:hAnsi="Century Gothic"/>
                <w:sz w:val="24"/>
                <w:szCs w:val="24"/>
                <w:lang w:val="nl-NL"/>
              </w:rPr>
              <w:t>Mekingenweg</w:t>
            </w:r>
            <w:proofErr w:type="spellEnd"/>
            <w:r w:rsidRPr="00BF68DA">
              <w:rPr>
                <w:rFonts w:ascii="Century Gothic" w:hAnsi="Century Gothic"/>
                <w:sz w:val="24"/>
                <w:szCs w:val="24"/>
                <w:lang w:val="nl-NL"/>
              </w:rPr>
              <w:t xml:space="preserve"> en kiss &amp; </w:t>
            </w:r>
            <w:proofErr w:type="spellStart"/>
            <w:r w:rsidRPr="00BF68DA">
              <w:rPr>
                <w:rFonts w:ascii="Century Gothic" w:hAnsi="Century Gothic"/>
                <w:sz w:val="24"/>
                <w:szCs w:val="24"/>
                <w:lang w:val="nl-NL"/>
              </w:rPr>
              <w:t>ride</w:t>
            </w:r>
            <w:proofErr w:type="spellEnd"/>
            <w:r w:rsidRPr="00BF68DA">
              <w:rPr>
                <w:rFonts w:ascii="Century Gothic" w:hAnsi="Century Gothic"/>
                <w:sz w:val="24"/>
                <w:szCs w:val="24"/>
                <w:lang w:val="nl-NL"/>
              </w:rPr>
              <w:t xml:space="preserve"> stroken Hendrik </w:t>
            </w:r>
            <w:proofErr w:type="spellStart"/>
            <w:r w:rsidRPr="00BF68DA">
              <w:rPr>
                <w:rFonts w:ascii="Century Gothic" w:hAnsi="Century Gothic"/>
                <w:sz w:val="24"/>
                <w:szCs w:val="24"/>
                <w:lang w:val="nl-NL"/>
              </w:rPr>
              <w:t>Vanhouchestraat</w:t>
            </w:r>
            <w:proofErr w:type="spellEnd"/>
          </w:p>
        </w:tc>
      </w:tr>
      <w:tr w:rsidR="00BF68DA" w:rsidTr="00BF68DA">
        <w:tc>
          <w:tcPr>
            <w:tcW w:w="296" w:type="dxa"/>
          </w:tcPr>
          <w:p w:rsidR="00BF68DA" w:rsidRDefault="00BF68DA"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F68DA" w:rsidP="00FE341B">
            <w:pPr>
              <w:rPr>
                <w:rFonts w:ascii="Century Gothic" w:hAnsi="Century Gothic"/>
                <w:sz w:val="24"/>
                <w:szCs w:val="24"/>
                <w:lang w:val="nl-BE"/>
              </w:rPr>
            </w:pPr>
            <w:r w:rsidRPr="00BF68DA">
              <w:rPr>
                <w:rFonts w:ascii="Century Gothic" w:hAnsi="Century Gothic"/>
                <w:sz w:val="24"/>
                <w:szCs w:val="24"/>
                <w:lang w:val="nl-NL"/>
              </w:rPr>
              <w:t>Tijdelijke politieverordening op het wegverkeer: Kermis Negenmanneke 2 september 2018 te Sint-Pieters-Leeuw</w:t>
            </w:r>
          </w:p>
        </w:tc>
      </w:tr>
      <w:tr w:rsidR="00BF68DA" w:rsidTr="00BF68DA">
        <w:tc>
          <w:tcPr>
            <w:tcW w:w="296" w:type="dxa"/>
          </w:tcPr>
          <w:p w:rsidR="00BF68DA" w:rsidRDefault="00BF68DA"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F68DA" w:rsidP="00FE341B">
            <w:pPr>
              <w:rPr>
                <w:rFonts w:ascii="Century Gothic" w:hAnsi="Century Gothic"/>
                <w:sz w:val="24"/>
                <w:szCs w:val="24"/>
                <w:lang w:val="nl-BE"/>
              </w:rPr>
            </w:pPr>
            <w:r w:rsidRPr="00BF68DA">
              <w:rPr>
                <w:rFonts w:ascii="Century Gothic" w:hAnsi="Century Gothic"/>
                <w:sz w:val="24"/>
                <w:szCs w:val="24"/>
                <w:lang w:val="nl-NL"/>
              </w:rPr>
              <w:t xml:space="preserve">Tijdelijke politieverordening op het wegverkeer: Rommelmarkt en barbecue op 1 en 2 september 2018 in de F. </w:t>
            </w:r>
            <w:proofErr w:type="spellStart"/>
            <w:r w:rsidRPr="00BF68DA">
              <w:rPr>
                <w:rFonts w:ascii="Century Gothic" w:hAnsi="Century Gothic"/>
                <w:sz w:val="24"/>
                <w:szCs w:val="24"/>
                <w:lang w:val="nl-NL"/>
              </w:rPr>
              <w:t>Demolstraat</w:t>
            </w:r>
            <w:proofErr w:type="spellEnd"/>
            <w:r w:rsidRPr="00BF68DA">
              <w:rPr>
                <w:rFonts w:ascii="Century Gothic" w:hAnsi="Century Gothic"/>
                <w:sz w:val="24"/>
                <w:szCs w:val="24"/>
                <w:lang w:val="nl-NL"/>
              </w:rPr>
              <w:t xml:space="preserve"> te Sint-Pieters-Leeuw</w:t>
            </w:r>
          </w:p>
        </w:tc>
      </w:tr>
      <w:tr w:rsidR="00BF68DA" w:rsidTr="00BF68DA">
        <w:tc>
          <w:tcPr>
            <w:tcW w:w="296" w:type="dxa"/>
          </w:tcPr>
          <w:p w:rsidR="00BF68DA" w:rsidRDefault="00BF68DA"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F68DA" w:rsidP="00FE341B">
            <w:pPr>
              <w:rPr>
                <w:rFonts w:ascii="Century Gothic" w:hAnsi="Century Gothic"/>
                <w:sz w:val="24"/>
                <w:szCs w:val="24"/>
                <w:lang w:val="nl-BE"/>
              </w:rPr>
            </w:pPr>
            <w:r w:rsidRPr="00BF68DA">
              <w:rPr>
                <w:rFonts w:ascii="Century Gothic" w:hAnsi="Century Gothic"/>
                <w:sz w:val="24"/>
                <w:szCs w:val="24"/>
                <w:lang w:val="nl-NL"/>
              </w:rPr>
              <w:t xml:space="preserve">Tijdelijke politieverordening op het wegverkeer: Wielerwedstrijd Brussels </w:t>
            </w:r>
            <w:proofErr w:type="spellStart"/>
            <w:r w:rsidRPr="00BF68DA">
              <w:rPr>
                <w:rFonts w:ascii="Century Gothic" w:hAnsi="Century Gothic"/>
                <w:sz w:val="24"/>
                <w:szCs w:val="24"/>
                <w:lang w:val="nl-NL"/>
              </w:rPr>
              <w:t>Cycling</w:t>
            </w:r>
            <w:proofErr w:type="spellEnd"/>
            <w:r w:rsidRPr="00BF68DA">
              <w:rPr>
                <w:rFonts w:ascii="Century Gothic" w:hAnsi="Century Gothic"/>
                <w:sz w:val="24"/>
                <w:szCs w:val="24"/>
                <w:lang w:val="nl-NL"/>
              </w:rPr>
              <w:t xml:space="preserve"> Classic op zaterdag 1 september 2018 te Sint-Pieters-Leeuw</w:t>
            </w:r>
          </w:p>
        </w:tc>
      </w:tr>
    </w:tbl>
    <w:p w:rsidR="00BF68DA" w:rsidRDefault="00BF68DA"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BF68DA">
        <w:rPr>
          <w:rFonts w:ascii="Century Gothic" w:hAnsi="Century Gothic"/>
          <w:sz w:val="24"/>
          <w:szCs w:val="24"/>
          <w:lang w:val="nl-BE"/>
        </w:rPr>
        <w:t>28</w:t>
      </w:r>
      <w:r w:rsidR="00513135">
        <w:rPr>
          <w:rFonts w:ascii="Century Gothic" w:hAnsi="Century Gothic"/>
          <w:sz w:val="24"/>
          <w:szCs w:val="24"/>
          <w:lang w:val="nl-BE"/>
        </w:rPr>
        <w:t>.</w:t>
      </w:r>
      <w:r w:rsidR="00BB0F1B">
        <w:rPr>
          <w:rFonts w:ascii="Century Gothic" w:hAnsi="Century Gothic"/>
          <w:sz w:val="24"/>
          <w:szCs w:val="24"/>
          <w:lang w:val="nl-BE"/>
        </w:rPr>
        <w:t>0</w:t>
      </w:r>
      <w:r w:rsidR="00BF68DA">
        <w:rPr>
          <w:rFonts w:ascii="Century Gothic" w:hAnsi="Century Gothic"/>
          <w:sz w:val="24"/>
          <w:szCs w:val="24"/>
          <w:lang w:val="nl-BE"/>
        </w:rPr>
        <w:t>8</w:t>
      </w:r>
      <w:r w:rsidR="00F44C6A">
        <w:rPr>
          <w:rFonts w:ascii="Century Gothic" w:hAnsi="Century Gothic"/>
          <w:sz w:val="24"/>
          <w:szCs w:val="24"/>
          <w:lang w:val="nl-BE"/>
        </w:rPr>
        <w:t>.2018</w:t>
      </w:r>
      <w:bookmarkStart w:id="0" w:name="_GoBack"/>
      <w:bookmarkEnd w:id="0"/>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615417" w:rsidP="009612B9">
      <w:pPr>
        <w:rPr>
          <w:rFonts w:ascii="Century Gothic" w:hAnsi="Century Gothic"/>
          <w:sz w:val="24"/>
          <w:szCs w:val="24"/>
          <w:lang w:val="nl-BE"/>
        </w:rPr>
      </w:pPr>
      <w:proofErr w:type="gramStart"/>
      <w:r>
        <w:rPr>
          <w:rFonts w:ascii="Century Gothic" w:hAnsi="Century Gothic"/>
          <w:sz w:val="24"/>
          <w:szCs w:val="24"/>
          <w:lang w:val="nl-BE"/>
        </w:rPr>
        <w:t>a</w:t>
      </w:r>
      <w:r w:rsidR="00F44C6A">
        <w:rPr>
          <w:rFonts w:ascii="Century Gothic" w:hAnsi="Century Gothic"/>
          <w:sz w:val="24"/>
          <w:szCs w:val="24"/>
          <w:lang w:val="nl-BE"/>
        </w:rPr>
        <w:t>lgemeen</w:t>
      </w:r>
      <w:proofErr w:type="gramEnd"/>
      <w:r w:rsidR="00F44C6A">
        <w:rPr>
          <w:rFonts w:ascii="Century Gothic" w:hAnsi="Century Gothic"/>
          <w:sz w:val="24"/>
          <w:szCs w:val="24"/>
          <w:lang w:val="nl-BE"/>
        </w:rPr>
        <w:t xml:space="preserve"> directeur</w:t>
      </w:r>
      <w:r w:rsidR="00F44C6A">
        <w:rPr>
          <w:rFonts w:ascii="Century Gothic" w:hAnsi="Century Gothic"/>
          <w:sz w:val="24"/>
          <w:szCs w:val="24"/>
          <w:lang w:val="nl-BE"/>
        </w:rPr>
        <w:tab/>
      </w:r>
      <w:r w:rsidR="00A076D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compat>
    <w:compatSetting w:name="compatibilityMode" w:uri="http://schemas.microsoft.com/office/word" w:val="12"/>
  </w:compat>
  <w:rsids>
    <w:rsidRoot w:val="00A076D9"/>
    <w:rsid w:val="00054BFD"/>
    <w:rsid w:val="00133C04"/>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15417"/>
    <w:rsid w:val="006C5877"/>
    <w:rsid w:val="006E7E34"/>
    <w:rsid w:val="006F3560"/>
    <w:rsid w:val="007358D0"/>
    <w:rsid w:val="007648E6"/>
    <w:rsid w:val="007C5669"/>
    <w:rsid w:val="007E1856"/>
    <w:rsid w:val="008034E6"/>
    <w:rsid w:val="00822DE7"/>
    <w:rsid w:val="00830C5B"/>
    <w:rsid w:val="00832326"/>
    <w:rsid w:val="00860BA7"/>
    <w:rsid w:val="008A0CC4"/>
    <w:rsid w:val="008A63D3"/>
    <w:rsid w:val="008B4A77"/>
    <w:rsid w:val="008C2686"/>
    <w:rsid w:val="0090397B"/>
    <w:rsid w:val="009612B9"/>
    <w:rsid w:val="009915F7"/>
    <w:rsid w:val="009F23EE"/>
    <w:rsid w:val="00A076D9"/>
    <w:rsid w:val="00A83F52"/>
    <w:rsid w:val="00A9574A"/>
    <w:rsid w:val="00AC42D1"/>
    <w:rsid w:val="00B06261"/>
    <w:rsid w:val="00B245B4"/>
    <w:rsid w:val="00B6145F"/>
    <w:rsid w:val="00BB0F1B"/>
    <w:rsid w:val="00BB531A"/>
    <w:rsid w:val="00BF68DA"/>
    <w:rsid w:val="00C50653"/>
    <w:rsid w:val="00D118AF"/>
    <w:rsid w:val="00D20E65"/>
    <w:rsid w:val="00D707AA"/>
    <w:rsid w:val="00D96E0B"/>
    <w:rsid w:val="00DA05BF"/>
    <w:rsid w:val="00E07CBE"/>
    <w:rsid w:val="00F12A99"/>
    <w:rsid w:val="00F23061"/>
    <w:rsid w:val="00F32945"/>
    <w:rsid w:val="00F44C6A"/>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E69"/>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BF68DA"/>
    <w:pPr>
      <w:tabs>
        <w:tab w:val="center" w:pos="4536"/>
        <w:tab w:val="right" w:pos="9072"/>
      </w:tabs>
      <w:adjustRightInd w:val="0"/>
    </w:pPr>
    <w:rPr>
      <w:rFonts w:eastAsiaTheme="minorEastAsia"/>
    </w:rPr>
  </w:style>
  <w:style w:type="character" w:customStyle="1" w:styleId="KoptekstChar">
    <w:name w:val="Koptekst Char"/>
    <w:basedOn w:val="Standaardalinea-lettertype"/>
    <w:link w:val="Koptekst"/>
    <w:uiPriority w:val="99"/>
    <w:rsid w:val="00BF68DA"/>
    <w:rPr>
      <w:rFonts w:ascii="Times New Roman" w:eastAsiaTheme="minorEastAsia" w:hAnsi="Times New Roman"/>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3</cp:revision>
  <dcterms:created xsi:type="dcterms:W3CDTF">2018-08-28T12:09:00Z</dcterms:created>
  <dcterms:modified xsi:type="dcterms:W3CDTF">2018-08-28T12:12:00Z</dcterms:modified>
</cp:coreProperties>
</file>